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jc w:val="center"/>
        <w:rPr>
          <w:rFonts w:ascii="Liberation Serif" w:cs="Liberation Serif" w:hAnsi="Liberation Serif" w:eastAsia="Liberation Serif"/>
          <w:b w:val="1"/>
          <w:bCs w:val="1"/>
        </w:rPr>
      </w:pPr>
      <w:r>
        <w:rPr>
          <w:rFonts w:ascii="Liberation Serif" w:cs="Liberation Serif" w:hAnsi="Liberation Serif" w:eastAsia="Liberation Serif"/>
          <w:b w:val="1"/>
          <w:bCs w:val="1"/>
          <w:rtl w:val="0"/>
        </w:rPr>
        <w:t>POSELSTV</w:t>
      </w:r>
      <w:r>
        <w:rPr>
          <w:rFonts w:ascii="Liberation Serif" w:cs="Liberation Serif" w:hAnsi="Liberation Serif" w:eastAsia="Liberation Serif"/>
          <w:b w:val="1"/>
          <w:bCs w:val="1"/>
          <w:rtl w:val="0"/>
        </w:rPr>
        <w:t xml:space="preserve">Í </w:t>
      </w:r>
      <w:r>
        <w:rPr>
          <w:rFonts w:ascii="Liberation Serif" w:cs="Liberation Serif" w:hAnsi="Liberation Serif" w:eastAsia="Liberation Serif"/>
          <w:b w:val="1"/>
          <w:bCs w:val="1"/>
          <w:rtl w:val="0"/>
        </w:rPr>
        <w:tab/>
        <w:t>PAPE</w:t>
      </w:r>
      <w:r>
        <w:rPr>
          <w:rFonts w:ascii="Liberation Serif" w:cs="Liberation Serif" w:hAnsi="Liberation Serif" w:eastAsia="Liberation Serif"/>
          <w:b w:val="1"/>
          <w:bCs w:val="1"/>
          <w:rtl w:val="0"/>
        </w:rPr>
        <w:t>Ž</w:t>
      </w:r>
      <w:r>
        <w:rPr>
          <w:rFonts w:ascii="Liberation Serif" w:cs="Liberation Serif" w:hAnsi="Liberation Serif" w:eastAsia="Liberation Serif"/>
          <w:b w:val="1"/>
          <w:bCs w:val="1"/>
          <w:rtl w:val="0"/>
        </w:rPr>
        <w:t xml:space="preserve">E </w:t>
      </w:r>
      <w:r>
        <w:rPr>
          <w:rFonts w:ascii="Liberation Serif" w:cs="Liberation Serif" w:hAnsi="Liberation Serif" w:eastAsia="Liberation Serif"/>
          <w:b w:val="1"/>
          <w:bCs w:val="1"/>
          <w:rtl w:val="0"/>
          <w:lang w:val="de-DE"/>
        </w:rPr>
        <w:t>FRANTI</w:t>
      </w:r>
      <w:r>
        <w:rPr>
          <w:rFonts w:ascii="Liberation Serif" w:cs="Liberation Serif" w:hAnsi="Liberation Serif" w:eastAsia="Liberation Serif"/>
          <w:b w:val="1"/>
          <w:bCs w:val="1"/>
          <w:rtl w:val="0"/>
        </w:rPr>
        <w:t>Š</w:t>
      </w:r>
      <w:r>
        <w:rPr>
          <w:rFonts w:ascii="Liberation Serif" w:cs="Liberation Serif" w:hAnsi="Liberation Serif" w:eastAsia="Liberation Serif"/>
          <w:b w:val="1"/>
          <w:bCs w:val="1"/>
          <w:rtl w:val="0"/>
          <w:lang w:val="de-DE"/>
        </w:rPr>
        <w:t>KA</w:t>
      </w:r>
    </w:p>
    <w:p>
      <w:pPr>
        <w:pStyle w:val="Normal.0"/>
        <w:spacing w:line="276" w:lineRule="auto"/>
        <w:jc w:val="center"/>
        <w:rPr>
          <w:rFonts w:ascii="Liberation Serif" w:cs="Liberation Serif" w:hAnsi="Liberation Serif" w:eastAsia="Liberation Serif"/>
          <w:b w:val="1"/>
          <w:bCs w:val="1"/>
        </w:rPr>
      </w:pPr>
      <w:r>
        <w:rPr>
          <w:rFonts w:ascii="Liberation Serif" w:cs="Liberation Serif" w:hAnsi="Liberation Serif" w:eastAsia="Liberation Serif"/>
          <w:b w:val="1"/>
          <w:bCs w:val="1"/>
          <w:rtl w:val="0"/>
        </w:rPr>
        <w:t>k postn</w:t>
      </w:r>
      <w:r>
        <w:rPr>
          <w:rFonts w:ascii="Liberation Serif" w:cs="Liberation Serif" w:hAnsi="Liberation Serif" w:eastAsia="Liberation Serif"/>
          <w:b w:val="1"/>
          <w:bCs w:val="1"/>
          <w:rtl w:val="0"/>
        </w:rPr>
        <w:t xml:space="preserve">í </w:t>
      </w:r>
      <w:r>
        <w:rPr>
          <w:rFonts w:ascii="Liberation Serif" w:cs="Liberation Serif" w:hAnsi="Liberation Serif" w:eastAsia="Liberation Serif"/>
          <w:b w:val="1"/>
          <w:bCs w:val="1"/>
          <w:rtl w:val="0"/>
        </w:rPr>
        <w:t>dob</w:t>
      </w:r>
      <w:r>
        <w:rPr>
          <w:rFonts w:ascii="Liberation Serif" w:cs="Liberation Serif" w:hAnsi="Liberation Serif" w:eastAsia="Liberation Serif"/>
          <w:b w:val="1"/>
          <w:bCs w:val="1"/>
          <w:rtl w:val="0"/>
        </w:rPr>
        <w:t xml:space="preserve">ě </w:t>
      </w:r>
      <w:r>
        <w:rPr>
          <w:rFonts w:ascii="Liberation Serif" w:cs="Liberation Serif" w:hAnsi="Liberation Serif" w:eastAsia="Liberation Serif"/>
          <w:b w:val="1"/>
          <w:bCs w:val="1"/>
          <w:rtl w:val="0"/>
        </w:rPr>
        <w:t>2023</w:t>
      </w:r>
    </w:p>
    <w:p>
      <w:pPr>
        <w:pStyle w:val="Normal.0"/>
        <w:spacing w:line="276" w:lineRule="auto"/>
        <w:jc w:val="center"/>
        <w:rPr>
          <w:b w:val="1"/>
          <w:bCs w:val="1"/>
        </w:rPr>
      </w:pPr>
    </w:p>
    <w:p>
      <w:pPr>
        <w:pStyle w:val="Normal.0"/>
        <w:spacing w:line="276" w:lineRule="auto"/>
        <w:jc w:val="center"/>
        <w:rPr>
          <w:rFonts w:ascii="Liberation Serif" w:cs="Liberation Serif" w:hAnsi="Liberation Serif" w:eastAsia="Liberation Serif"/>
          <w:b w:val="1"/>
          <w:bCs w:val="1"/>
          <w:i w:val="1"/>
          <w:iCs w:val="1"/>
        </w:rPr>
      </w:pPr>
      <w:r>
        <w:rPr>
          <w:rFonts w:ascii="Liberation Serif" w:cs="Liberation Serif" w:hAnsi="Liberation Serif" w:eastAsia="Liberation Serif"/>
          <w:b w:val="1"/>
          <w:bCs w:val="1"/>
          <w:i w:val="1"/>
          <w:iCs w:val="1"/>
          <w:rtl w:val="0"/>
        </w:rPr>
        <w:t>Postn</w:t>
      </w:r>
      <w:r>
        <w:rPr>
          <w:rFonts w:ascii="Liberation Serif" w:cs="Liberation Serif" w:hAnsi="Liberation Serif" w:eastAsia="Liberation Serif"/>
          <w:b w:val="1"/>
          <w:bCs w:val="1"/>
          <w:i w:val="1"/>
          <w:iCs w:val="1"/>
          <w:rtl w:val="0"/>
        </w:rPr>
        <w:t xml:space="preserve">í </w:t>
      </w:r>
      <w:r>
        <w:rPr>
          <w:rFonts w:ascii="Liberation Serif" w:cs="Liberation Serif" w:hAnsi="Liberation Serif" w:eastAsia="Liberation Serif"/>
          <w:b w:val="1"/>
          <w:bCs w:val="1"/>
          <w:i w:val="1"/>
          <w:iCs w:val="1"/>
          <w:rtl w:val="0"/>
          <w:lang w:val="nl-NL"/>
        </w:rPr>
        <w:t>askeze, synod</w:t>
      </w:r>
      <w:r>
        <w:rPr>
          <w:rFonts w:ascii="Liberation Serif" w:cs="Liberation Serif" w:hAnsi="Liberation Serif" w:eastAsia="Liberation Serif"/>
          <w:b w:val="1"/>
          <w:bCs w:val="1"/>
          <w:i w:val="1"/>
          <w:iCs w:val="1"/>
          <w:rtl w:val="0"/>
        </w:rPr>
        <w:t>á</w:t>
      </w:r>
      <w:r>
        <w:rPr>
          <w:rFonts w:ascii="Liberation Serif" w:cs="Liberation Serif" w:hAnsi="Liberation Serif" w:eastAsia="Liberation Serif"/>
          <w:b w:val="1"/>
          <w:bCs w:val="1"/>
          <w:i w:val="1"/>
          <w:iCs w:val="1"/>
          <w:rtl w:val="0"/>
        </w:rPr>
        <w:t>ln</w:t>
      </w:r>
      <w:r>
        <w:rPr>
          <w:rFonts w:ascii="Liberation Serif" w:cs="Liberation Serif" w:hAnsi="Liberation Serif" w:eastAsia="Liberation Serif"/>
          <w:b w:val="1"/>
          <w:bCs w:val="1"/>
          <w:i w:val="1"/>
          <w:iCs w:val="1"/>
          <w:rtl w:val="0"/>
        </w:rPr>
        <w:t xml:space="preserve">í </w:t>
      </w:r>
      <w:r>
        <w:rPr>
          <w:rFonts w:ascii="Liberation Serif" w:cs="Liberation Serif" w:hAnsi="Liberation Serif" w:eastAsia="Liberation Serif"/>
          <w:b w:val="1"/>
          <w:bCs w:val="1"/>
          <w:i w:val="1"/>
          <w:iCs w:val="1"/>
          <w:rtl w:val="0"/>
        </w:rPr>
        <w:t>cesta</w:t>
      </w:r>
    </w:p>
    <w:p>
      <w:pPr>
        <w:pStyle w:val="Normal.0"/>
        <w:spacing w:line="276" w:lineRule="auto"/>
        <w:jc w:val="center"/>
        <w:rPr>
          <w:b w:val="1"/>
          <w:bCs w:val="1"/>
          <w:i w:val="1"/>
          <w:iCs w:val="1"/>
        </w:rPr>
      </w:pPr>
    </w:p>
    <w:p>
      <w:pPr>
        <w:pStyle w:val="Normal.0"/>
        <w:spacing w:line="276" w:lineRule="auto"/>
        <w:jc w:val="both"/>
      </w:pPr>
      <w:r>
        <w:rPr>
          <w:rtl w:val="0"/>
        </w:rPr>
        <w:t>Draz</w:t>
      </w:r>
      <w:r>
        <w:rPr>
          <w:rtl w:val="0"/>
        </w:rPr>
        <w:t xml:space="preserve">í </w:t>
      </w:r>
      <w:r>
        <w:rPr>
          <w:rtl w:val="0"/>
          <w:lang w:val="en-US"/>
        </w:rPr>
        <w:t>brat</w:t>
      </w:r>
      <w:r>
        <w:rPr>
          <w:rtl w:val="0"/>
        </w:rPr>
        <w:t>ř</w:t>
      </w:r>
      <w:r>
        <w:rPr>
          <w:rtl w:val="0"/>
        </w:rPr>
        <w:t>i a sestry!</w:t>
      </w:r>
    </w:p>
    <w:p>
      <w:pPr>
        <w:pStyle w:val="Normal.0"/>
        <w:spacing w:line="276" w:lineRule="auto"/>
        <w:jc w:val="both"/>
      </w:pPr>
    </w:p>
    <w:p>
      <w:pPr>
        <w:pStyle w:val="Normal.0"/>
        <w:spacing w:line="276" w:lineRule="auto"/>
        <w:jc w:val="both"/>
      </w:pPr>
      <w:r>
        <w:rPr>
          <w:rtl w:val="0"/>
          <w:lang w:val="pt-PT"/>
        </w:rPr>
        <w:tab/>
        <w:t>Matou</w:t>
      </w:r>
      <w:r>
        <w:rPr>
          <w:rtl w:val="0"/>
        </w:rPr>
        <w:t>š</w:t>
      </w:r>
      <w:r>
        <w:rPr>
          <w:rtl w:val="0"/>
        </w:rPr>
        <w:t>ovo, Markovo a Luk</w:t>
      </w:r>
      <w:r>
        <w:rPr>
          <w:rtl w:val="0"/>
        </w:rPr>
        <w:t>áš</w:t>
      </w:r>
      <w:r>
        <w:rPr>
          <w:rtl w:val="0"/>
        </w:rPr>
        <w:t>ovo evangelium shodn</w:t>
      </w:r>
      <w:r>
        <w:rPr>
          <w:rtl w:val="0"/>
        </w:rPr>
        <w:t xml:space="preserve">ě </w:t>
      </w:r>
      <w:r>
        <w:rPr>
          <w:rtl w:val="0"/>
        </w:rPr>
        <w:t>l</w:t>
      </w:r>
      <w:r>
        <w:rPr>
          <w:rtl w:val="0"/>
        </w:rPr>
        <w:t xml:space="preserve">íčí </w:t>
      </w:r>
      <w:r>
        <w:rPr>
          <w:rtl w:val="0"/>
        </w:rPr>
        <w:t>ud</w:t>
      </w:r>
      <w:r>
        <w:rPr>
          <w:rtl w:val="0"/>
        </w:rPr>
        <w:t>á</w:t>
      </w:r>
      <w:r>
        <w:rPr>
          <w:rtl w:val="0"/>
          <w:lang w:val="en-US"/>
        </w:rPr>
        <w:t>lost Je</w:t>
      </w:r>
      <w:r>
        <w:rPr>
          <w:rtl w:val="0"/>
        </w:rPr>
        <w:t>žíš</w:t>
      </w:r>
      <w:r>
        <w:rPr>
          <w:rtl w:val="0"/>
        </w:rPr>
        <w:t>ova prom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. Ta je P</w:t>
      </w:r>
      <w:r>
        <w:rPr>
          <w:rtl w:val="0"/>
        </w:rPr>
        <w:t>á</w:t>
      </w:r>
      <w:r>
        <w:rPr>
          <w:rtl w:val="0"/>
        </w:rPr>
        <w:t>novou odpov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>na nepochopen</w:t>
      </w:r>
      <w:r>
        <w:rPr>
          <w:rtl w:val="0"/>
        </w:rPr>
        <w:t xml:space="preserve">í </w:t>
      </w:r>
      <w:r>
        <w:rPr>
          <w:rtl w:val="0"/>
        </w:rPr>
        <w:t>jeho u</w:t>
      </w:r>
      <w:r>
        <w:rPr>
          <w:rtl w:val="0"/>
        </w:rPr>
        <w:t>č</w:t>
      </w:r>
      <w:r>
        <w:rPr>
          <w:rtl w:val="0"/>
        </w:rPr>
        <w:t>edn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. Kr</w:t>
      </w:r>
      <w:r>
        <w:rPr>
          <w:rtl w:val="0"/>
        </w:rPr>
        <w:t>á</w:t>
      </w:r>
      <w:r>
        <w:rPr>
          <w:rtl w:val="0"/>
        </w:rPr>
        <w:t>tce p</w:t>
      </w:r>
      <w:r>
        <w:rPr>
          <w:rtl w:val="0"/>
        </w:rPr>
        <w:t>ř</w:t>
      </w:r>
      <w:r>
        <w:rPr>
          <w:rtl w:val="0"/>
          <w:lang w:val="da-DK"/>
        </w:rPr>
        <w:t>edt</w:t>
      </w:r>
      <w:r>
        <w:rPr>
          <w:rtl w:val="0"/>
        </w:rPr>
        <w:t>í</w:t>
      </w:r>
      <w:r>
        <w:rPr>
          <w:rtl w:val="0"/>
        </w:rPr>
        <w:t>m toti</w:t>
      </w:r>
      <w:r>
        <w:rPr>
          <w:rtl w:val="0"/>
        </w:rPr>
        <w:t xml:space="preserve">ž </w:t>
      </w:r>
      <w:r>
        <w:rPr>
          <w:rtl w:val="0"/>
        </w:rPr>
        <w:t>do</w:t>
      </w:r>
      <w:r>
        <w:rPr>
          <w:rtl w:val="0"/>
        </w:rPr>
        <w:t>š</w:t>
      </w:r>
      <w:r>
        <w:rPr>
          <w:rtl w:val="0"/>
        </w:rPr>
        <w:t>lo k v</w:t>
      </w:r>
      <w:r>
        <w:rPr>
          <w:rtl w:val="0"/>
        </w:rPr>
        <w:t>áž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mu st</w:t>
      </w:r>
      <w:r>
        <w:rPr>
          <w:rtl w:val="0"/>
        </w:rPr>
        <w:t>ř</w:t>
      </w:r>
      <w:r>
        <w:rPr>
          <w:rtl w:val="0"/>
        </w:rPr>
        <w:t>etu mezi Mistrem</w:t>
      </w:r>
      <w:r>
        <w:rPr>
          <w:rtl w:val="0"/>
        </w:rPr>
        <w:t> </w:t>
      </w:r>
      <w:r>
        <w:rPr>
          <w:rtl w:val="0"/>
        </w:rPr>
        <w:t>a</w:t>
      </w:r>
      <w:r>
        <w:rPr>
          <w:rtl w:val="0"/>
        </w:rPr>
        <w:t> Š</w:t>
      </w:r>
      <w:r>
        <w:rPr>
          <w:rtl w:val="0"/>
          <w:lang w:val="it-IT"/>
        </w:rPr>
        <w:t>imonem</w:t>
      </w:r>
      <w:r>
        <w:rPr>
          <w:rtl w:val="0"/>
        </w:rPr>
        <w:t> </w:t>
      </w:r>
      <w:r>
        <w:rPr>
          <w:rtl w:val="0"/>
        </w:rPr>
        <w:t>Petrem,</w:t>
      </w:r>
      <w:r>
        <w:rPr>
          <w:rtl w:val="0"/>
        </w:rPr>
        <w:t> </w:t>
      </w:r>
      <w:r>
        <w:rPr>
          <w:rtl w:val="0"/>
        </w:rPr>
        <w:t>kter</w:t>
      </w:r>
      <w:r>
        <w:rPr>
          <w:rtl w:val="0"/>
        </w:rPr>
        <w:t>ý </w:t>
      </w:r>
      <w:r>
        <w:rPr>
          <w:rtl w:val="0"/>
        </w:rPr>
        <w:t>pot</w:t>
      </w:r>
      <w:r>
        <w:rPr>
          <w:rtl w:val="0"/>
          <w:lang w:val="fr-FR"/>
        </w:rPr>
        <w:t>é</w:t>
      </w:r>
      <w:r>
        <w:rPr>
          <w:rtl w:val="0"/>
        </w:rPr>
        <w:t>,</w:t>
      </w:r>
      <w:r>
        <w:rPr>
          <w:rtl w:val="0"/>
        </w:rPr>
        <w:t> </w:t>
      </w:r>
      <w:r>
        <w:rPr>
          <w:rtl w:val="0"/>
          <w:lang w:val="it-IT"/>
        </w:rPr>
        <w:t>co</w:t>
      </w:r>
      <w:r>
        <w:rPr>
          <w:rtl w:val="0"/>
        </w:rPr>
        <w:t> </w:t>
      </w:r>
      <w:r>
        <w:rPr>
          <w:rtl w:val="0"/>
        </w:rPr>
        <w:t>vyznal</w:t>
      </w:r>
      <w:r>
        <w:rPr>
          <w:rtl w:val="0"/>
        </w:rPr>
        <w:t> </w:t>
      </w:r>
      <w:r>
        <w:rPr>
          <w:rtl w:val="0"/>
        </w:rPr>
        <w:t>v</w:t>
      </w:r>
      <w:r>
        <w:rPr>
          <w:rtl w:val="0"/>
        </w:rPr>
        <w:t>í</w:t>
      </w:r>
      <w:r>
        <w:rPr>
          <w:rtl w:val="0"/>
        </w:rPr>
        <w:t>ru v Je</w:t>
      </w:r>
      <w:r>
        <w:rPr>
          <w:rtl w:val="0"/>
        </w:rPr>
        <w:t>žíš</w:t>
      </w:r>
      <w:r>
        <w:rPr>
          <w:rtl w:val="0"/>
        </w:rPr>
        <w:t>e jako Krista, Bo</w:t>
      </w:r>
      <w:r>
        <w:rPr>
          <w:rtl w:val="0"/>
        </w:rPr>
        <w:t>ží</w:t>
      </w:r>
      <w:r>
        <w:rPr>
          <w:rtl w:val="0"/>
        </w:rPr>
        <w:t>ho Syna, odm</w:t>
      </w:r>
      <w:r>
        <w:rPr>
          <w:rtl w:val="0"/>
        </w:rPr>
        <w:t>í</w:t>
      </w:r>
      <w:r>
        <w:rPr>
          <w:rtl w:val="0"/>
        </w:rPr>
        <w:t>tl jeho p</w:t>
      </w:r>
      <w:r>
        <w:rPr>
          <w:rtl w:val="0"/>
        </w:rPr>
        <w:t>ř</w:t>
      </w:r>
      <w:r>
        <w:rPr>
          <w:rtl w:val="0"/>
        </w:rPr>
        <w:t>edpov</w:t>
      </w:r>
      <w:r>
        <w:rPr>
          <w:rtl w:val="0"/>
        </w:rPr>
        <w:t xml:space="preserve">ěď </w:t>
      </w:r>
      <w:r>
        <w:rPr>
          <w:rtl w:val="0"/>
        </w:rPr>
        <w:t>umu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a k</w:t>
      </w:r>
      <w:r>
        <w:rPr>
          <w:rtl w:val="0"/>
        </w:rPr>
        <w:t>říž</w:t>
      </w:r>
      <w:r>
        <w:rPr>
          <w:rtl w:val="0"/>
          <w:lang w:val="it-IT"/>
        </w:rPr>
        <w:t>e. Je</w:t>
      </w:r>
      <w:r>
        <w:rPr>
          <w:rtl w:val="0"/>
        </w:rPr>
        <w:t xml:space="preserve">žíš </w:t>
      </w:r>
      <w:r>
        <w:rPr>
          <w:rtl w:val="0"/>
          <w:lang w:val="pt-PT"/>
        </w:rPr>
        <w:t>ho d</w:t>
      </w:r>
      <w:r>
        <w:rPr>
          <w:rtl w:val="0"/>
        </w:rPr>
        <w:t>ů</w:t>
      </w:r>
      <w:r>
        <w:rPr>
          <w:rtl w:val="0"/>
        </w:rPr>
        <w:t>razn</w:t>
      </w:r>
      <w:r>
        <w:rPr>
          <w:rtl w:val="0"/>
        </w:rPr>
        <w:t xml:space="preserve">ě </w:t>
      </w:r>
      <w:r>
        <w:rPr>
          <w:rtl w:val="0"/>
        </w:rPr>
        <w:t>pok</w:t>
      </w:r>
      <w:r>
        <w:rPr>
          <w:rtl w:val="0"/>
        </w:rPr>
        <w:t>á</w:t>
      </w:r>
      <w:r>
        <w:rPr>
          <w:rtl w:val="0"/>
        </w:rPr>
        <w:t xml:space="preserve">ral: </w:t>
      </w:r>
      <w:r>
        <w:rPr>
          <w:rtl w:val="0"/>
        </w:rPr>
        <w:t>„</w:t>
      </w:r>
      <w:r>
        <w:rPr>
          <w:rtl w:val="0"/>
        </w:rPr>
        <w:t>Jdi mi z o</w:t>
      </w:r>
      <w:r>
        <w:rPr>
          <w:rtl w:val="0"/>
        </w:rPr>
        <w:t>čí</w:t>
      </w:r>
      <w:r>
        <w:rPr>
          <w:rtl w:val="0"/>
        </w:rPr>
        <w:t>, satane! Pohor</w:t>
      </w:r>
      <w:r>
        <w:rPr>
          <w:rtl w:val="0"/>
        </w:rPr>
        <w:t>š</w:t>
      </w:r>
      <w:r>
        <w:rPr>
          <w:rtl w:val="0"/>
        </w:rPr>
        <w:t>uje</w:t>
      </w:r>
      <w:r>
        <w:rPr>
          <w:rtl w:val="0"/>
        </w:rPr>
        <w:t xml:space="preserve">š 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, nebo</w:t>
      </w:r>
      <w:r>
        <w:rPr>
          <w:rtl w:val="0"/>
        </w:rPr>
        <w:t>ť </w:t>
      </w:r>
      <w:r>
        <w:rPr>
          <w:rtl w:val="0"/>
        </w:rPr>
        <w:t>nem</w:t>
      </w:r>
      <w:r>
        <w:rPr>
          <w:rtl w:val="0"/>
        </w:rPr>
        <w:t>áš </w:t>
      </w:r>
      <w:r>
        <w:rPr>
          <w:rtl w:val="0"/>
        </w:rPr>
        <w:t>na</w:t>
      </w:r>
      <w:r>
        <w:rPr>
          <w:rtl w:val="0"/>
        </w:rPr>
        <w:t> </w:t>
      </w:r>
      <w:r>
        <w:rPr>
          <w:rtl w:val="0"/>
        </w:rPr>
        <w:t>mysli</w:t>
      </w:r>
      <w:r>
        <w:rPr>
          <w:rtl w:val="0"/>
        </w:rPr>
        <w:t> 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ci</w:t>
      </w:r>
      <w:r>
        <w:rPr>
          <w:rtl w:val="0"/>
        </w:rPr>
        <w:t> </w:t>
      </w:r>
      <w:r>
        <w:rPr>
          <w:rtl w:val="0"/>
        </w:rPr>
        <w:t>bo</w:t>
      </w:r>
      <w:r>
        <w:rPr>
          <w:rtl w:val="0"/>
        </w:rPr>
        <w:t>ž</w:t>
      </w:r>
      <w:r>
        <w:rPr>
          <w:rtl w:val="0"/>
        </w:rPr>
        <w:t>sk</w:t>
      </w:r>
      <w:r>
        <w:rPr>
          <w:rtl w:val="0"/>
          <w:lang w:val="fr-FR"/>
        </w:rPr>
        <w:t>é</w:t>
      </w:r>
      <w:r>
        <w:rPr>
          <w:rtl w:val="0"/>
        </w:rPr>
        <w:t>,</w:t>
      </w:r>
      <w:r>
        <w:rPr>
          <w:rtl w:val="0"/>
        </w:rPr>
        <w:t> </w:t>
      </w:r>
      <w:r>
        <w:rPr>
          <w:rtl w:val="0"/>
        </w:rPr>
        <w:t>ale</w:t>
      </w:r>
      <w:r>
        <w:rPr>
          <w:rtl w:val="0"/>
        </w:rPr>
        <w:t> </w:t>
      </w:r>
      <w:r>
        <w:rPr>
          <w:rtl w:val="0"/>
        </w:rPr>
        <w:t>lidsk</w:t>
      </w:r>
      <w:r>
        <w:rPr>
          <w:rtl w:val="0"/>
          <w:lang w:val="fr-FR"/>
        </w:rPr>
        <w:t>é</w:t>
      </w:r>
      <w:r>
        <w:rPr>
          <w:rtl w:val="0"/>
          <w:lang w:val="ru-RU"/>
        </w:rPr>
        <w:t>!</w:t>
      </w:r>
      <w:r>
        <w:rPr>
          <w:rtl w:val="1"/>
          <w:lang w:val="ar-SA" w:bidi="ar-SA"/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(Mt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16,23).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 „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esti dnech vzal 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žíš </w:t>
        <w:br w:type="textWrapping"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sebou Petra, Jakuba a jeho bratra Jana a vyvedl je na vysokou horu, aby byli sami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(Mt 17,1).</w:t>
      </w:r>
    </w:p>
    <w:p>
      <w:pPr>
        <w:pStyle w:val="Normal.0"/>
        <w:spacing w:line="276" w:lineRule="auto"/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ab/>
        <w:t>Evangelium o prom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 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doro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 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 o druh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 postn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hem tohoto liturgick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obdob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toti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zve, abychom se 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odebrali do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Zat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mco 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povinnosti vy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abychom setrv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vali na sv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obvykl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stech 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ili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asto opakuj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se,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kdy 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nudn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dodenn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ivotem,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hem postn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doby jsme pozv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ni, abychom spolu s 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vystoupili na vysokou horu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pro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ili se svat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 Bo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lidem zvl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enost </w:t>
      </w:r>
      <w:r>
        <w:rPr>
          <w:rFonts w:ascii="Liberation Serif" w:cs="Liberation Serif" w:hAnsi="Liberation Serif" w:eastAsia="Liberation Serif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askeze.</w:t>
      </w: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Postn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askeze je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vazek, kter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 podporovan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milost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ekon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 nedostatek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 a odpor k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sledov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na cest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e. Stejn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jako to pot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eboval Petr a ostatn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ci. Abychom prohloubili sv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pozn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Mistra, pln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pochopili a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ijali tajemstv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jeho sp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sy, kter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 uskute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uje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br w:type="textWrapping"/>
        <w:t xml:space="preserve">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naprost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sebedarov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z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sky, mus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 se 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nechat 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st do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k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odpoutat se od 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rnosti a marnosti.  Mus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 se vydat na cestu vzh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ru, kter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podobn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jako horsk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vy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aduje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sil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ob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ti a soust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Tyto 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adavky jsou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pro synod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cestu, na kterou jsme se jako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rkev vydali. Prosp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kdy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 zamysl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 nad vztahem, kter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existuje mezi postn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askez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synod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zku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jc w:val="both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 xml:space="preserve">Do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í“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bor s sebou 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žíš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bere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ky, kter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vybral, aby se stali sv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dky jedine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losti. Chce, aby tato zku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enost milosti nebyla osam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ale sd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jako ostatn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áš 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ivot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ry. 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sledujeme spole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A spole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jako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rkev putuj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ase, tak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 liturgick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rok a v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i postn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dobu a kr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áčí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 s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mi, kter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postavil vedle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jako spolupoutn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ky. Podobn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jako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stupu 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a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horu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bor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eme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ci,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postn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cesta je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synod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proto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po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áčí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 spole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jako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jednoho Mistra.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 toti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žíš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je </w:t>
      </w:r>
      <w:r>
        <w:rPr>
          <w:rFonts w:ascii="Liberation Serif" w:cs="Liberation Serif" w:hAnsi="Liberation Serif" w:eastAsia="Liberation Serif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cestou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a proto jak v liturgick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ivot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tak v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mci synody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rkev ned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nic jin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ho, ne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 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 hloub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ji a pln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ji vstupuje do tajemstv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Krista Spasitele.</w:t>
      </w: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A dost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 se k vyvrcholen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Podle evangelia byl 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žíš 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 nimi prom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n: jeho tv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ář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zaz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ila jako slunce a jeho 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zb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lel jako sv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tlo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(Mt 17,2). Zde je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vrchol</w:t>
      </w:r>
      <w:r>
        <w:rPr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 cesty. Na konci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stupu, kdy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jsou s 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em na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e, se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em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milosti spat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 ho v jeho sl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,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nadp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irozen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tlem, kter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zelo zven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ale vyza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ovalo z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 samotn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ho. Bo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 tohoto zjeven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byla nesrovnateln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ší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jak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koli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maha, kterou museli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vynalo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it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stupu na horu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bor. Jako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horsk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nesm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stupu spou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 cesty, ale panorama, kter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 otev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na jej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konci,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ekvap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odm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 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 svou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dherou. 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synod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proces se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asto zd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t nam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kdy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odradit. Ale to, co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konci, je jist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a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ekvapiv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ho, co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pom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l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 pochopit Bo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 a 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posl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 slu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jeho kr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lovstv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Zku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enost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bor je nav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 obohacena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se vedle prom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zjev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žíš </w:t>
      </w:r>
      <w:r>
        <w:rPr>
          <w:outline w:val="0"/>
          <w:color w:val="00000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a Eli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kte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ří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edstavuj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 a Proroky (srov. Mt 17,3). Kristova novost je napln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star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smlouvy a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slib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je neodd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liteln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od Bo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hu s jeho lidem a zjevuje jeho hlubok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smysl. Podobn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synod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cesta je zako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v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rkevn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tradici a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rove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 otev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mu. Tradice je zdrojem inspirace k hled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cest,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 vyh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protich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poku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strnulosti a improvizovan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experimentov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lem asketick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cesty a podobn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synod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cesty je prom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na, a to jak osobn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tak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rkevn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Prom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na, kter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obou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padech nach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 vzor v 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a dosahuje se milost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jeho velikono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tajemstv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Aby se v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 tato prom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v tomto roce mohla uskute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nit, 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 bych navrhl dv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 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cesty</w:t>
      </w:r>
      <w:r>
        <w:rPr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po kter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bychom mohli stoupat spolu s 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em a dos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hnout s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le.</w:t>
      </w: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Prvn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souvis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kazem, kter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 Otec adresuje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na 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bor, kdy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rozj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 prom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m 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i. Hlas z oblaku vyz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Toho poslouchejte!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(Mt 17,5). Prvn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pokyn je tedy zcela jasn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 poslouchat 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e. Postn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doba je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asem milosti do t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ry, do jak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naslouch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me, kdy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promlouv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A jak k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promlouv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edev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 Bo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slov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kter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rkev nab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  <w:br w:type="textWrapping"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liturgii. Nenechejme ho padnout na ne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rodnou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du. Pokud se nem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eme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astnit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svat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 si biblick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 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den, a to i s pomoc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internetu. Krom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sma k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promlouv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ich brat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a sestr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ch, zejm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 ve tv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áří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a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ch, kte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ří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ebuj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pomoc. Cht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 bych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ak doplnit i dal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ší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aspekt, kter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v synod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procesu velmi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 naslouch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Kristu se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i skrze naslouch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brat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a sestr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v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rkvi. Toto vz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jemn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naslouch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kter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v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ch f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synody hlavn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lem, v metod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stylu synod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rkve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dy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nepostradateln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Kdy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ci usly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eli Otc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 hlas,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padli tv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áří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 zemi a velmi se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li. 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žíš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istoupil, dotkl se jich a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ekl: ,Vsta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te, nebojte se!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 xml:space="preserve">‘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Pozdvihli 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a nevid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 nikoho, jen samotn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ho 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  <w:br w:type="textWrapping"/>
      </w:r>
      <w:r>
        <w:rPr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(Mt 17,6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–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8). Zde je druh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pokyn pro tuto postn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dobu: neuchylujte se k religiozit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tvo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mimo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ud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lostmi a sugestivn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itky ze strachu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elit realit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jej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dodenn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kostmi a rozpory. Sv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tlo, kter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žíš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ukazuje 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je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edzv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velikono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vy, k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me sm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ovat, kdy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sledujeme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jedin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jeho</w:t>
      </w:r>
      <w:r>
        <w:rPr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Postn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doba je zam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ena na Velikonoce: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„ú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stran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í“ 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lem samo o sob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ale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ipravuje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na pro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utrpen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s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rou, nad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skou, abychom dos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hli vzk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Ani synod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cesta by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 nem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la klamat,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jsme ji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dorazili do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le, kdy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 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milost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siln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spole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enstv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I tam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 opakuje: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Vsta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te, nebojte se!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Sestupme na rovinu a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pro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milost posiluje v tom, abychom byli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emesln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ky synodality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ivot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ich spole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enstv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Draz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brat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a sestry, 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éž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 Duch Svat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 tomto postn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obdob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povzbuzuje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na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em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stupu s Je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em, abychom zakusili jeho bo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skou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dheru a posiln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ni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rou pokra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ovali na cest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spolu s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m, kter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 sl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vou sv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lidu a sv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tlem 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both"/>
      </w:pP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no v 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 Sv. Jana v Later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nu dne 25. ledna, na sv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tek obr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cen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svat</w:t>
      </w:r>
      <w:r>
        <w:rPr>
          <w:rFonts w:ascii="Times New Roman" w:hAnsi="Times New Roman" w:hint="default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Times New Roman" w:hAnsi="Times New Roman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Pavla</w:t>
      </w:r>
    </w:p>
    <w:p>
      <w:pPr>
        <w:pStyle w:val="Body Text"/>
        <w:jc w:val="both"/>
      </w:pPr>
    </w:p>
    <w:p>
      <w:pPr>
        <w:pStyle w:val="Body Tex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i w:val="1"/>
          <w:iCs w:val="1"/>
          <w:cap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Franti</w:t>
      </w:r>
      <w:r>
        <w:rPr>
          <w:rFonts w:ascii="Times New Roman" w:hAnsi="Times New Roman" w:hint="default"/>
          <w:i w:val="1"/>
          <w:iCs w:val="1"/>
          <w:cap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Times New Roman" w:hAnsi="Times New Roman"/>
          <w:i w:val="1"/>
          <w:iCs w:val="1"/>
          <w:cap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ek</w:t>
      </w: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276" w:lineRule="auto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</w:pPr>
      <w:r>
        <w:br w:type="textWrapping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iberation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Liberation Serif" w:cs="Liberation Serif" w:hAnsi="Liberation Serif" w:eastAsia="Liberation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40" w:line="276" w:lineRule="auto"/>
      <w:ind w:left="0" w:right="0" w:firstLine="0"/>
      <w:jc w:val="left"/>
      <w:outlineLvl w:val="9"/>
    </w:pPr>
    <w:rPr>
      <w:rFonts w:ascii="Liberation Serif" w:cs="Liberation Serif" w:hAnsi="Liberation Serif" w:eastAsia="Liberation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